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7D62" w14:textId="77777777" w:rsidR="00000000" w:rsidRDefault="00086ADF">
      <w:pPr>
        <w:pStyle w:val="BodyText"/>
      </w:pPr>
      <w:r>
        <w:t>Managing Intellectual Assets</w:t>
      </w:r>
    </w:p>
    <w:p w14:paraId="065EEE06" w14:textId="77777777" w:rsidR="00000000" w:rsidRDefault="00086ADF">
      <w:pPr>
        <w:pStyle w:val="BodyText"/>
      </w:pPr>
      <w:r>
        <w:t>Attracts Top BMS Alliances-- Blockbuster Drugs Follow</w:t>
      </w:r>
    </w:p>
    <w:p w14:paraId="02DE125B" w14:textId="77777777" w:rsidR="00000000" w:rsidRDefault="00000000"/>
    <w:p w14:paraId="1C72ED0D" w14:textId="77777777" w:rsidR="00000000" w:rsidRDefault="00086ADF">
      <w:r>
        <w:t>By Lesley Hiller in Princeton, NJ and Otis D. Mahle in Wallingford, CT.</w:t>
      </w:r>
    </w:p>
    <w:p w14:paraId="7FFCC3D8" w14:textId="77777777" w:rsidR="00000000" w:rsidRDefault="00086ADF">
      <w:pPr>
        <w:rPr>
          <w:sz w:val="16"/>
        </w:rPr>
      </w:pPr>
      <w:r>
        <w:rPr>
          <w:sz w:val="16"/>
        </w:rPr>
        <w:t>- - - - - - - - - - - - - - - - - - - - - - - - - - - - -</w:t>
      </w:r>
    </w:p>
    <w:p w14:paraId="1EF22830" w14:textId="77777777" w:rsidR="00000000" w:rsidRDefault="00086ADF">
      <w:pPr>
        <w:ind w:firstLine="360"/>
        <w:jc w:val="both"/>
      </w:pPr>
      <w:r>
        <w:t xml:space="preserve">“In 2001 BMS set a goal to become the industry’s “alliance partner of choice”.  A commitment to managing knowledge as a major competitive advantage has allowed us to achieve that objective,” said Peter </w:t>
      </w:r>
      <w:proofErr w:type="gramStart"/>
      <w:r>
        <w:t>Ringrose,  Ph.D.</w:t>
      </w:r>
      <w:proofErr w:type="gramEnd"/>
      <w:r>
        <w:t xml:space="preserve">, Chief Scientific Officer and President, Pharmaceutical Research </w:t>
      </w:r>
      <w:proofErr w:type="spellStart"/>
      <w:r>
        <w:t>Insitute</w:t>
      </w:r>
      <w:proofErr w:type="spellEnd"/>
      <w:r>
        <w:t xml:space="preserve"> at Bristol-Myers Squibb (BMS) in an exclusive interview to the Financial Times</w:t>
      </w:r>
    </w:p>
    <w:p w14:paraId="4AFC7082" w14:textId="77777777" w:rsidR="00000000" w:rsidRDefault="00086ADF">
      <w:pPr>
        <w:ind w:firstLine="360"/>
        <w:jc w:val="both"/>
      </w:pPr>
      <w:r>
        <w:t>Earlier today Mr. Ringrose announced the launch of BMS’ third blockbuster drug this year.</w:t>
      </w:r>
    </w:p>
    <w:p w14:paraId="51751879" w14:textId="77777777" w:rsidR="00000000" w:rsidRDefault="00086ADF">
      <w:pPr>
        <w:ind w:firstLine="360"/>
        <w:jc w:val="both"/>
      </w:pPr>
      <w:r>
        <w:t xml:space="preserve"> “Two years ago, we realized that 40%-50% of our work would have to be accomplished through partnerships and alliances. We had pipeline material, but to bring new drugs to market we needed to partner with niche specialists.” </w:t>
      </w:r>
    </w:p>
    <w:p w14:paraId="1438AD5B" w14:textId="77777777" w:rsidR="00000000" w:rsidRDefault="00086ADF">
      <w:pPr>
        <w:ind w:firstLine="360"/>
        <w:jc w:val="both"/>
      </w:pPr>
      <w:r>
        <w:t>Streamlining processes and making the company’s intellectual assets work for the entire enterprise was key to attracting these new partners, Mr. Ringrose said.</w:t>
      </w:r>
    </w:p>
    <w:p w14:paraId="5D5F35E7" w14:textId="77777777" w:rsidR="00000000" w:rsidRDefault="00086ADF">
      <w:pPr>
        <w:ind w:firstLine="360"/>
        <w:jc w:val="both"/>
      </w:pPr>
      <w:r>
        <w:t xml:space="preserve">BMS’ growth has drawn much analyst attention. Two years ago, </w:t>
      </w:r>
      <w:r>
        <w:rPr>
          <w:i/>
        </w:rPr>
        <w:t>FORTUNE</w:t>
      </w:r>
      <w:r>
        <w:t xml:space="preserve"> named Bristol-Myers </w:t>
      </w:r>
      <w:proofErr w:type="gramStart"/>
      <w:r>
        <w:t>Squibb  “</w:t>
      </w:r>
      <w:proofErr w:type="gramEnd"/>
      <w:r>
        <w:t xml:space="preserve">America's Most Admired Pharmaceutical Company.”  Today, Peter Lynch said on CNBC that the announcement of </w:t>
      </w:r>
      <w:r>
        <w:t>this new blockbuster drug represents a</w:t>
      </w:r>
    </w:p>
    <w:tbl>
      <w:tblPr>
        <w:tblW w:w="0" w:type="auto"/>
        <w:tblLayout w:type="fixed"/>
        <w:tblLook w:val="0000" w:firstRow="0" w:lastRow="0" w:firstColumn="0" w:lastColumn="0" w:noHBand="0" w:noVBand="0"/>
      </w:tblPr>
      <w:tblGrid>
        <w:gridCol w:w="2898"/>
      </w:tblGrid>
      <w:tr w:rsidR="007205E6" w14:paraId="386DD283" w14:textId="77777777">
        <w:tc>
          <w:tcPr>
            <w:tcW w:w="2898" w:type="dxa"/>
          </w:tcPr>
          <w:p w14:paraId="28A3C173" w14:textId="77777777" w:rsidR="00000000" w:rsidRDefault="00086ADF">
            <w:pPr>
              <w:jc w:val="center"/>
            </w:pPr>
            <w:r>
              <w:object w:dxaOrig="1743" w:dyaOrig="1616" w14:anchorId="4886E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6.5pt" o:ole="" fillcolor="window">
                  <v:imagedata r:id="rId6" o:title=""/>
                </v:shape>
                <o:OLEObject Type="Embed" ProgID="MSDraw.Drawing.8.1" ShapeID="_x0000_i1025" DrawAspect="Content" ObjectID="_1810127447" r:id="rId7"/>
              </w:object>
            </w:r>
          </w:p>
          <w:p w14:paraId="2D412D26" w14:textId="77777777" w:rsidR="00000000" w:rsidRDefault="00086ADF">
            <w:pPr>
              <w:jc w:val="center"/>
              <w:rPr>
                <w:sz w:val="16"/>
              </w:rPr>
            </w:pPr>
            <w:r>
              <w:rPr>
                <w:sz w:val="16"/>
              </w:rPr>
              <w:t>Peter Ringrose Ph.D., Chief Scientific Officer and President, Pharmaceutical Research Institute</w:t>
            </w:r>
          </w:p>
        </w:tc>
      </w:tr>
    </w:tbl>
    <w:p w14:paraId="6831BEE8" w14:textId="77777777" w:rsidR="00000000" w:rsidRDefault="00000000">
      <w:pPr>
        <w:jc w:val="both"/>
      </w:pPr>
    </w:p>
    <w:p w14:paraId="5775C9E2" w14:textId="77777777" w:rsidR="00000000" w:rsidRDefault="00086ADF">
      <w:pPr>
        <w:jc w:val="both"/>
      </w:pPr>
      <w:r>
        <w:t xml:space="preserve">major milestone for BMS, and puts the company first as the most productive and innovative global pharmaceutical company.”  Mr. Lynch went on to say that “with its new #1 ranking in prescription sales, BMS is </w:t>
      </w:r>
      <w:proofErr w:type="gramStart"/>
      <w:r>
        <w:t>delivering  impressive</w:t>
      </w:r>
      <w:proofErr w:type="gramEnd"/>
      <w:r>
        <w:t xml:space="preserve"> top- and bottom-line growth.” </w:t>
      </w:r>
    </w:p>
    <w:p w14:paraId="5CCEC9C0" w14:textId="77777777" w:rsidR="00000000" w:rsidRDefault="00086ADF">
      <w:pPr>
        <w:pStyle w:val="BodyTextIndent3"/>
      </w:pPr>
      <w:r>
        <w:t xml:space="preserve">When asked how BMS managed to propel itself from a company with only four blockbuster drugs in its first </w:t>
      </w:r>
      <w:proofErr w:type="gramStart"/>
      <w:r>
        <w:t>100 year</w:t>
      </w:r>
      <w:proofErr w:type="gramEnd"/>
      <w:r>
        <w:t xml:space="preserve"> history to a company that has turned out three world class drugs in a year, Mr. </w:t>
      </w:r>
      <w:proofErr w:type="gramStart"/>
      <w:r>
        <w:t>Ringrose  attributed</w:t>
      </w:r>
      <w:proofErr w:type="gramEnd"/>
      <w:r>
        <w:t xml:space="preserve"> BMS</w:t>
      </w:r>
      <w:proofErr w:type="gramStart"/>
      <w:r>
        <w:t>’  growth</w:t>
      </w:r>
      <w:proofErr w:type="gramEnd"/>
      <w:r>
        <w:t xml:space="preserve"> to four critical factors: partnerships, R&amp;D’s alignment with corporate strategic initiatives, increased speed and quality of decision making and the successful leveraging of intellectual capital.  </w:t>
      </w:r>
    </w:p>
    <w:p w14:paraId="041EC51D" w14:textId="77777777" w:rsidR="00000000" w:rsidRDefault="00086ADF">
      <w:pPr>
        <w:pStyle w:val="BodyTextIndent"/>
        <w:ind w:firstLine="360"/>
        <w:jc w:val="both"/>
      </w:pPr>
      <w:r>
        <w:t xml:space="preserve">According to sources inside BMS, key innovations in </w:t>
      </w:r>
      <w:proofErr w:type="spellStart"/>
      <w:r>
        <w:t>knowledgement</w:t>
      </w:r>
      <w:proofErr w:type="spellEnd"/>
      <w:r>
        <w:t xml:space="preserve"> management at the company fueled the new processes.</w:t>
      </w:r>
    </w:p>
    <w:p w14:paraId="2B7C8E67" w14:textId="77777777" w:rsidR="00000000" w:rsidRDefault="00086ADF">
      <w:pPr>
        <w:pStyle w:val="BodyTextIndent"/>
        <w:ind w:firstLine="360"/>
        <w:jc w:val="both"/>
      </w:pPr>
      <w:r>
        <w:t xml:space="preserve"> Two years ago, BMS launched a new role, the Knowledge Integrator (KI), to leverage the use of information and increase the speed and accuracy of decision-making by scientists, business managers and executives.  As an </w:t>
      </w:r>
      <w:proofErr w:type="gramStart"/>
      <w:r>
        <w:t>important  member</w:t>
      </w:r>
      <w:proofErr w:type="gramEnd"/>
      <w:r>
        <w:t xml:space="preserve"> of targeted teams, the KI </w:t>
      </w:r>
      <w:proofErr w:type="gramStart"/>
      <w:r>
        <w:t>assesses  the</w:t>
      </w:r>
      <w:proofErr w:type="gramEnd"/>
      <w:r>
        <w:t xml:space="preserve"> team’s information needs. The KI </w:t>
      </w:r>
      <w:proofErr w:type="gramStart"/>
      <w:r>
        <w:t>then  acts</w:t>
      </w:r>
      <w:proofErr w:type="gramEnd"/>
      <w:r>
        <w:t xml:space="preserve"> proactively to filter and analyze scientific, clinical and competitive intelligence as it is published, and alerts team </w:t>
      </w:r>
      <w:proofErr w:type="gramStart"/>
      <w:r>
        <w:t>members  to</w:t>
      </w:r>
      <w:proofErr w:type="gramEnd"/>
      <w:r>
        <w:t xml:space="preserve"> the latest advancements in medicine and biotechnology.  This ensures against the team’s overlooking of key actionable items. Mr.  Ringrose opened the doors of the PRI and other areas of BMS to the Financial Times for individual interviews (see below) to learn how this new role is working in the company. </w:t>
      </w:r>
    </w:p>
    <w:tbl>
      <w:tblPr>
        <w:tblW w:w="0" w:type="auto"/>
        <w:tblLayout w:type="fixed"/>
        <w:tblLook w:val="0000" w:firstRow="0" w:lastRow="0" w:firstColumn="0" w:lastColumn="0" w:noHBand="0" w:noVBand="0"/>
      </w:tblPr>
      <w:tblGrid>
        <w:gridCol w:w="2904"/>
      </w:tblGrid>
      <w:tr w:rsidR="007205E6" w14:paraId="149E8D1F" w14:textId="77777777">
        <w:tc>
          <w:tcPr>
            <w:tcW w:w="2904" w:type="dxa"/>
          </w:tcPr>
          <w:p w14:paraId="646FC6FA" w14:textId="77777777" w:rsidR="00000000" w:rsidRDefault="00617711">
            <w:pPr>
              <w:pStyle w:val="BodyTextIndent"/>
              <w:ind w:firstLine="0"/>
              <w:jc w:val="center"/>
            </w:pPr>
            <w:r>
              <w:rPr>
                <w:noProof/>
              </w:rPr>
              <w:drawing>
                <wp:inline distT="0" distB="0" distL="0" distR="0" wp14:anchorId="79EF5844" wp14:editId="6E1A33EB">
                  <wp:extent cx="990600" cy="866775"/>
                  <wp:effectExtent l="19050" t="0" r="0" b="0"/>
                  <wp:docPr id="2" name="Picture 2" descr="sci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tist"/>
                          <pic:cNvPicPr>
                            <a:picLocks noChangeAspect="1" noChangeArrowheads="1"/>
                          </pic:cNvPicPr>
                        </pic:nvPicPr>
                        <pic:blipFill>
                          <a:blip r:embed="rId8" cstate="print"/>
                          <a:srcRect/>
                          <a:stretch>
                            <a:fillRect/>
                          </a:stretch>
                        </pic:blipFill>
                        <pic:spPr bwMode="auto">
                          <a:xfrm>
                            <a:off x="0" y="0"/>
                            <a:ext cx="990600" cy="866775"/>
                          </a:xfrm>
                          <a:prstGeom prst="rect">
                            <a:avLst/>
                          </a:prstGeom>
                          <a:noFill/>
                          <a:ln w="9525">
                            <a:noFill/>
                            <a:miter lim="800000"/>
                            <a:headEnd/>
                            <a:tailEnd/>
                          </a:ln>
                        </pic:spPr>
                      </pic:pic>
                    </a:graphicData>
                  </a:graphic>
                </wp:inline>
              </w:drawing>
            </w:r>
          </w:p>
          <w:p w14:paraId="2F31628D" w14:textId="77777777" w:rsidR="00000000" w:rsidRDefault="00086ADF">
            <w:pPr>
              <w:pStyle w:val="BodyTextIndent"/>
              <w:ind w:firstLine="0"/>
              <w:jc w:val="center"/>
              <w:rPr>
                <w:sz w:val="16"/>
              </w:rPr>
            </w:pPr>
            <w:r>
              <w:rPr>
                <w:sz w:val="16"/>
              </w:rPr>
              <w:t>R&amp;D: The Future of Medicine</w:t>
            </w:r>
          </w:p>
        </w:tc>
      </w:tr>
    </w:tbl>
    <w:p w14:paraId="2198A632" w14:textId="77777777" w:rsidR="00000000" w:rsidRDefault="00000000">
      <w:pPr>
        <w:pStyle w:val="BodyTextIndent"/>
        <w:ind w:firstLine="0"/>
        <w:jc w:val="both"/>
        <w:rPr>
          <w:b/>
        </w:rPr>
      </w:pPr>
    </w:p>
    <w:p w14:paraId="782C8E06" w14:textId="77777777" w:rsidR="00000000" w:rsidRDefault="00086ADF">
      <w:pPr>
        <w:pStyle w:val="BodyTextIndent"/>
        <w:ind w:firstLine="0"/>
        <w:jc w:val="both"/>
        <w:rPr>
          <w:b/>
        </w:rPr>
      </w:pPr>
      <w:r>
        <w:rPr>
          <w:b/>
        </w:rPr>
        <w:t>Knowledge Desktops become</w:t>
      </w:r>
    </w:p>
    <w:p w14:paraId="60516F6B" w14:textId="77777777" w:rsidR="00000000" w:rsidRDefault="00086ADF">
      <w:pPr>
        <w:pStyle w:val="BodyTextIndent"/>
        <w:ind w:firstLine="0"/>
        <w:jc w:val="both"/>
        <w:rPr>
          <w:b/>
        </w:rPr>
      </w:pPr>
      <w:r>
        <w:rPr>
          <w:b/>
        </w:rPr>
        <w:t>Portals for Genomics R&amp;D</w:t>
      </w:r>
    </w:p>
    <w:p w14:paraId="2F2C43CC" w14:textId="77777777" w:rsidR="00000000" w:rsidRDefault="00086ADF">
      <w:pPr>
        <w:pStyle w:val="BodyTextIndent"/>
        <w:ind w:firstLine="0"/>
        <w:jc w:val="both"/>
      </w:pPr>
      <w:r>
        <w:t>Genomic technologies are rapidly changing the paradigm of pharmaceutical R&amp;</w:t>
      </w:r>
      <w:proofErr w:type="gramStart"/>
      <w:r>
        <w:t>D,  according</w:t>
      </w:r>
      <w:proofErr w:type="gramEnd"/>
      <w:r>
        <w:t xml:space="preserve"> to Mark H. Crocket, Ph.D., Executive Director, Functional Genomics.  “We needed an equally innovative technology to keep pace—to centralize PRI progress-to-date in a way that we could also have access to the </w:t>
      </w:r>
      <w:proofErr w:type="gramStart"/>
      <w:r>
        <w:t>latest  information</w:t>
      </w:r>
      <w:proofErr w:type="gramEnd"/>
      <w:r>
        <w:t xml:space="preserve"> in the field.”</w:t>
      </w:r>
    </w:p>
    <w:p w14:paraId="5031C07A" w14:textId="77777777" w:rsidR="00000000" w:rsidRDefault="00086ADF">
      <w:pPr>
        <w:pStyle w:val="BodyTextIndent"/>
        <w:ind w:firstLine="360"/>
        <w:jc w:val="both"/>
        <w:sectPr w:rsidR="007205E6">
          <w:headerReference w:type="default" r:id="rId9"/>
          <w:footerReference w:type="default" r:id="rId10"/>
          <w:pgSz w:w="12240" w:h="15840"/>
          <w:pgMar w:top="1440" w:right="1800" w:bottom="1440" w:left="1800" w:header="720" w:footer="390" w:gutter="0"/>
          <w:cols w:num="3" w:space="288"/>
        </w:sectPr>
      </w:pPr>
      <w:r>
        <w:t xml:space="preserve">Now Crocket and his high-tech program teams rely on team portals called </w:t>
      </w:r>
      <w:r>
        <w:rPr>
          <w:i/>
        </w:rPr>
        <w:t>Knowledge Desktops</w:t>
      </w:r>
      <w:r>
        <w:t xml:space="preserve"> developed by the staff of Knowledge Integration </w:t>
      </w:r>
    </w:p>
    <w:p w14:paraId="1FB1DA38" w14:textId="77777777" w:rsidR="00000000" w:rsidRDefault="00086ADF">
      <w:pPr>
        <w:pStyle w:val="BodyTextIndent"/>
        <w:ind w:firstLine="360"/>
        <w:jc w:val="both"/>
      </w:pPr>
      <w:r>
        <w:lastRenderedPageBreak/>
        <w:t xml:space="preserve">Resources (KIR). This new knowledge technology </w:t>
      </w:r>
      <w:proofErr w:type="gramStart"/>
      <w:r>
        <w:t>provides  one</w:t>
      </w:r>
      <w:proofErr w:type="gramEnd"/>
      <w:r>
        <w:t xml:space="preserve">- stop shopping for key project information. According to Mr. </w:t>
      </w:r>
      <w:proofErr w:type="gramStart"/>
      <w:r>
        <w:t>Crockett,  the</w:t>
      </w:r>
      <w:proofErr w:type="gramEnd"/>
      <w:r>
        <w:t xml:space="preserve"> Knowledge Desktop is </w:t>
      </w:r>
      <w:proofErr w:type="gramStart"/>
      <w:r>
        <w:t>used  as</w:t>
      </w:r>
      <w:proofErr w:type="gramEnd"/>
      <w:r>
        <w:t xml:space="preserve"> a central access point for project-related documents, scientific and industry literature and data, allowing all team members immediate and secure access to timely resources. </w:t>
      </w:r>
    </w:p>
    <w:p w14:paraId="050D5E47" w14:textId="77777777" w:rsidR="00000000" w:rsidRDefault="00086ADF">
      <w:pPr>
        <w:pStyle w:val="BodyTextIndent"/>
        <w:ind w:firstLine="360"/>
        <w:jc w:val="both"/>
      </w:pPr>
      <w:r>
        <w:t xml:space="preserve">Team members interviewed for this article say the Knowledge Desktops facilitate more efficient team meetings and better informed decisions.  </w:t>
      </w:r>
    </w:p>
    <w:p w14:paraId="6CE68BA7" w14:textId="77777777" w:rsidR="00000000" w:rsidRDefault="00086ADF">
      <w:pPr>
        <w:pStyle w:val="BodyTextIndent"/>
        <w:ind w:firstLine="360"/>
        <w:jc w:val="both"/>
      </w:pPr>
      <w:r>
        <w:t>“We no longer waste valuable time looking for pertinent information or waiting in a queue for relevant e-mails,” says Team Leader Tony Flair. “Now we’re one click away from accurate, up-to-date project information.”</w:t>
      </w:r>
    </w:p>
    <w:p w14:paraId="638878E8" w14:textId="77777777" w:rsidR="00000000" w:rsidRDefault="00086ADF">
      <w:pPr>
        <w:pStyle w:val="BodyTextIndent"/>
        <w:ind w:firstLine="360"/>
        <w:jc w:val="both"/>
      </w:pPr>
      <w:r>
        <w:t xml:space="preserve">Genomic scientists can also take advantage of KIR’s state-of-the-art meeting and training facilities (both physical and in cyberspace) to interact with their colleagues around the world.  Geographically positioned as R&amp;D’s information and knowledge hub, KIR is meant to stimulate the creation, management, and leveraging of intellectual capital.  </w:t>
      </w:r>
    </w:p>
    <w:p w14:paraId="05934436" w14:textId="77777777" w:rsidR="00000000" w:rsidRDefault="00086ADF">
      <w:pPr>
        <w:pStyle w:val="BodyTextIndent"/>
        <w:ind w:firstLine="360"/>
        <w:jc w:val="both"/>
      </w:pPr>
      <w:r>
        <w:t xml:space="preserve">Mr. Crocket recounted one example of how KIR’s integrated resources enable scientists to make important advances in research.  </w:t>
      </w:r>
    </w:p>
    <w:p w14:paraId="7DAC7C9E" w14:textId="77777777" w:rsidR="00000000" w:rsidRDefault="00086ADF">
      <w:pPr>
        <w:pStyle w:val="BodyTextIndent"/>
        <w:ind w:firstLine="360"/>
        <w:jc w:val="both"/>
      </w:pPr>
      <w:r>
        <w:t xml:space="preserve">“In the fall of 2001 a headline on the library’s conference report kiosk caught my eye. This site links trip reports, conference proceedings, relevant published literature and internal BMS documents in one place.  A PRI oncology researcher in Wallingford had posted a trip report on the conference page of the KIR web site. It summarized the work of a promising junior researcher, Li Ping.  Ping had participated in </w:t>
      </w:r>
      <w:r>
        <w:t xml:space="preserve">the development of a diagnostic test for ovarian cancer at Johns </w:t>
      </w:r>
      <w:proofErr w:type="gramStart"/>
      <w:r>
        <w:t>Hopkins  and</w:t>
      </w:r>
      <w:proofErr w:type="gramEnd"/>
      <w:r>
        <w:t xml:space="preserve"> was currently working on related technologies. We had been trying to recruit the best and brightest in our quest for developing tools for advancing proteomics--the study of how proteins function in the body.  I contacted Jennifer Wiz, our Knowledge Integrator, and asked her to review and analyze the pertinent internal, external and patent literature for technologies associated with Li Ping and the ovarian cancer diagnostic test project.  Jennifer provided the analysis within 48 hours.  </w:t>
      </w:r>
    </w:p>
    <w:p w14:paraId="5D35B1A8" w14:textId="77777777" w:rsidR="00000000" w:rsidRDefault="00086ADF">
      <w:pPr>
        <w:pStyle w:val="BodyTextIndent"/>
        <w:ind w:firstLine="360"/>
        <w:jc w:val="both"/>
      </w:pPr>
      <w:r>
        <w:t>“Ultimately, we hired this young star and he led the development of our new protein screening process.  In late 2002 we filed an IND for a cure for ovarian cancer, breaking all previous timelines for this phase of drug development.”</w:t>
      </w:r>
    </w:p>
    <w:p w14:paraId="6FED6866" w14:textId="77777777" w:rsidR="00000000" w:rsidRDefault="00000000">
      <w:pPr>
        <w:pStyle w:val="BodyTextIndent"/>
        <w:ind w:firstLine="360"/>
        <w:jc w:val="both"/>
      </w:pPr>
    </w:p>
    <w:tbl>
      <w:tblPr>
        <w:tblW w:w="0" w:type="auto"/>
        <w:tblLayout w:type="fixed"/>
        <w:tblLook w:val="0000" w:firstRow="0" w:lastRow="0" w:firstColumn="0" w:lastColumn="0" w:noHBand="0" w:noVBand="0"/>
      </w:tblPr>
      <w:tblGrid>
        <w:gridCol w:w="2904"/>
      </w:tblGrid>
      <w:tr w:rsidR="007205E6" w14:paraId="63D56001" w14:textId="77777777">
        <w:tc>
          <w:tcPr>
            <w:tcW w:w="2904" w:type="dxa"/>
          </w:tcPr>
          <w:p w14:paraId="01CB0041" w14:textId="77777777" w:rsidR="00000000" w:rsidRDefault="00617711">
            <w:pPr>
              <w:pStyle w:val="BodyTextIndent"/>
              <w:ind w:firstLine="0"/>
            </w:pPr>
            <w:r>
              <w:rPr>
                <w:noProof/>
              </w:rPr>
              <w:drawing>
                <wp:inline distT="0" distB="0" distL="0" distR="0" wp14:anchorId="7E46AB17" wp14:editId="781E80C5">
                  <wp:extent cx="1704975" cy="1314450"/>
                  <wp:effectExtent l="19050" t="0" r="9525" b="0"/>
                  <wp:docPr id="3" name="Picture 3" descr="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lecule"/>
                          <pic:cNvPicPr>
                            <a:picLocks noChangeAspect="1" noChangeArrowheads="1"/>
                          </pic:cNvPicPr>
                        </pic:nvPicPr>
                        <pic:blipFill>
                          <a:blip r:embed="rId11" cstate="print"/>
                          <a:srcRect/>
                          <a:stretch>
                            <a:fillRect/>
                          </a:stretch>
                        </pic:blipFill>
                        <pic:spPr bwMode="auto">
                          <a:xfrm>
                            <a:off x="0" y="0"/>
                            <a:ext cx="1704975" cy="1314450"/>
                          </a:xfrm>
                          <a:prstGeom prst="rect">
                            <a:avLst/>
                          </a:prstGeom>
                          <a:noFill/>
                          <a:ln w="9525">
                            <a:noFill/>
                            <a:miter lim="800000"/>
                            <a:headEnd/>
                            <a:tailEnd/>
                          </a:ln>
                        </pic:spPr>
                      </pic:pic>
                    </a:graphicData>
                  </a:graphic>
                </wp:inline>
              </w:drawing>
            </w:r>
          </w:p>
        </w:tc>
      </w:tr>
    </w:tbl>
    <w:p w14:paraId="0BD0EE85" w14:textId="77777777" w:rsidR="00000000" w:rsidRDefault="00086ADF">
      <w:pPr>
        <w:pStyle w:val="BodyTextIndent"/>
        <w:ind w:firstLine="0"/>
        <w:jc w:val="both"/>
        <w:rPr>
          <w:b/>
        </w:rPr>
      </w:pPr>
      <w:r>
        <w:rPr>
          <w:b/>
        </w:rPr>
        <w:t xml:space="preserve">BMS Leveraging Knowledge Capital to Meet Business Goals </w:t>
      </w:r>
    </w:p>
    <w:p w14:paraId="695B1ADD" w14:textId="77777777" w:rsidR="00000000" w:rsidRDefault="00086ADF">
      <w:pPr>
        <w:pStyle w:val="BodyTextIndent"/>
        <w:ind w:firstLine="360"/>
        <w:jc w:val="both"/>
      </w:pPr>
      <w:r>
        <w:t>R&amp;D and Sales at BMS are increasingly calling on Knowledge Integrators to reduce time and add muscle to decision-</w:t>
      </w:r>
      <w:proofErr w:type="gramStart"/>
      <w:r>
        <w:t>making  and</w:t>
      </w:r>
      <w:proofErr w:type="gramEnd"/>
      <w:r>
        <w:t xml:space="preserve"> to keep a competitive eye on global industry advancements. </w:t>
      </w:r>
    </w:p>
    <w:p w14:paraId="6722731D" w14:textId="77777777" w:rsidR="00000000" w:rsidRDefault="00086ADF">
      <w:pPr>
        <w:pStyle w:val="BodyTextIndent"/>
        <w:ind w:firstLine="360"/>
        <w:jc w:val="both"/>
      </w:pPr>
      <w:r>
        <w:t xml:space="preserve">Testimonials from the R&amp;D side speak to the acceptance </w:t>
      </w:r>
      <w:proofErr w:type="gramStart"/>
      <w:r>
        <w:t>and  success</w:t>
      </w:r>
      <w:proofErr w:type="gramEnd"/>
      <w:r>
        <w:t xml:space="preserve"> of this </w:t>
      </w:r>
      <w:proofErr w:type="spellStart"/>
      <w:r>
        <w:t>knowledgement</w:t>
      </w:r>
      <w:proofErr w:type="spellEnd"/>
      <w:r>
        <w:t xml:space="preserve"> management role, now two in use two years at the pharmaceutical company </w:t>
      </w:r>
    </w:p>
    <w:p w14:paraId="2FA70FC7" w14:textId="77777777" w:rsidR="00000000" w:rsidRDefault="00086ADF">
      <w:pPr>
        <w:pStyle w:val="BodyTextIndent"/>
        <w:ind w:firstLine="360"/>
        <w:jc w:val="both"/>
      </w:pPr>
      <w:r>
        <w:t xml:space="preserve"> BMS’ world-renowned infectious disease expert John F. Bartlett, Ph.D. says that “the strategic focus of the Knowledge </w:t>
      </w:r>
      <w:r>
        <w:t>Integrators adds value to the R&amp;D process and assists us to accelerate the development of our blockbuster drugs.”</w:t>
      </w:r>
    </w:p>
    <w:p w14:paraId="371522E1" w14:textId="77777777" w:rsidR="00000000" w:rsidRDefault="00086ADF">
      <w:pPr>
        <w:pStyle w:val="BodyTextIndent"/>
        <w:ind w:firstLine="360"/>
        <w:jc w:val="both"/>
      </w:pPr>
      <w:r>
        <w:t>David Lloyd, Ph.D., Vice President Discovery Chemistry, added, “the presence of a Knowledge Integrator at key operating committee meetings enhances our strategic business position because they are out there continuously monitoring the competitor patent environment.”</w:t>
      </w:r>
    </w:p>
    <w:p w14:paraId="40E7E68F" w14:textId="77777777" w:rsidR="00000000" w:rsidRDefault="00086ADF">
      <w:pPr>
        <w:pStyle w:val="BodyTextIndent"/>
        <w:ind w:firstLine="360"/>
        <w:jc w:val="both"/>
      </w:pPr>
      <w:r>
        <w:t xml:space="preserve"> “Timely and accurate updates on current scientific and business information are essential to us in making meaningful strategic recommendations,” according to  Daniel Levinson, M.D., Ph.D., Executive Director, Strategic Analysis.</w:t>
      </w:r>
    </w:p>
    <w:p w14:paraId="1B84C71B" w14:textId="77777777" w:rsidR="00000000" w:rsidRDefault="00000000">
      <w:pPr>
        <w:pStyle w:val="BodyTextIndent"/>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4"/>
      </w:tblGrid>
      <w:tr w:rsidR="007205E6" w14:paraId="08C377E9" w14:textId="77777777">
        <w:tc>
          <w:tcPr>
            <w:tcW w:w="2904" w:type="dxa"/>
            <w:tcBorders>
              <w:top w:val="nil"/>
              <w:left w:val="nil"/>
              <w:bottom w:val="nil"/>
              <w:right w:val="nil"/>
            </w:tcBorders>
          </w:tcPr>
          <w:p w14:paraId="4FD71167" w14:textId="77777777" w:rsidR="00000000" w:rsidRDefault="00617711">
            <w:pPr>
              <w:pStyle w:val="BodyTextIndent2"/>
              <w:ind w:firstLine="0"/>
              <w:jc w:val="center"/>
            </w:pPr>
            <w:r>
              <w:rPr>
                <w:noProof/>
              </w:rPr>
              <w:drawing>
                <wp:inline distT="0" distB="0" distL="0" distR="0" wp14:anchorId="453F09AA" wp14:editId="1E62A197">
                  <wp:extent cx="1704975" cy="1876425"/>
                  <wp:effectExtent l="19050" t="0" r="9525" b="0"/>
                  <wp:docPr id="4" name="Picture 4" descr="Salesre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lesreps3"/>
                          <pic:cNvPicPr>
                            <a:picLocks noChangeAspect="1" noChangeArrowheads="1"/>
                          </pic:cNvPicPr>
                        </pic:nvPicPr>
                        <pic:blipFill>
                          <a:blip r:embed="rId12" cstate="print"/>
                          <a:srcRect/>
                          <a:stretch>
                            <a:fillRect/>
                          </a:stretch>
                        </pic:blipFill>
                        <pic:spPr bwMode="auto">
                          <a:xfrm>
                            <a:off x="0" y="0"/>
                            <a:ext cx="1704975" cy="1876425"/>
                          </a:xfrm>
                          <a:prstGeom prst="rect">
                            <a:avLst/>
                          </a:prstGeom>
                          <a:noFill/>
                          <a:ln w="9525">
                            <a:noFill/>
                            <a:miter lim="800000"/>
                            <a:headEnd/>
                            <a:tailEnd/>
                          </a:ln>
                        </pic:spPr>
                      </pic:pic>
                    </a:graphicData>
                  </a:graphic>
                </wp:inline>
              </w:drawing>
            </w:r>
          </w:p>
        </w:tc>
      </w:tr>
    </w:tbl>
    <w:p w14:paraId="4DDBD0CD" w14:textId="77777777" w:rsidR="00000000" w:rsidRDefault="00086ADF">
      <w:pPr>
        <w:pStyle w:val="BodyTextIndent2"/>
        <w:jc w:val="both"/>
      </w:pPr>
      <w:r>
        <w:t>The Sales Division at BMS also reports the knowledge management innovations of the past two years have helped to boost their numbers.</w:t>
      </w:r>
    </w:p>
    <w:p w14:paraId="04E63A4B" w14:textId="77777777" w:rsidR="00000000" w:rsidRDefault="00086ADF">
      <w:pPr>
        <w:pStyle w:val="BodyTextIndent2"/>
        <w:ind w:firstLine="108"/>
        <w:jc w:val="both"/>
      </w:pPr>
      <w:r>
        <w:t xml:space="preserve">“KIR’s seamless environment for accessing critical information, such as industry news, pipeline overviews and electronic journals give our e-mobile sales reps vital facts and figures that help them promote our products on site,” said Jennie Barton, Vice </w:t>
      </w:r>
      <w:proofErr w:type="gramStart"/>
      <w:r>
        <w:t>President  of</w:t>
      </w:r>
      <w:proofErr w:type="gramEnd"/>
      <w:r>
        <w:t xml:space="preserve"> Sales.</w:t>
      </w:r>
    </w:p>
    <w:p w14:paraId="0F56FF5A" w14:textId="77777777" w:rsidR="00000000" w:rsidRDefault="00086ADF">
      <w:pPr>
        <w:pStyle w:val="BodyTextIndent2"/>
        <w:ind w:firstLine="108"/>
        <w:jc w:val="both"/>
        <w:sectPr w:rsidR="007205E6">
          <w:pgSz w:w="12240" w:h="15840" w:code="1"/>
          <w:pgMar w:top="1440" w:right="1800" w:bottom="1440" w:left="1800" w:header="720" w:footer="389" w:gutter="0"/>
          <w:cols w:num="3" w:space="288"/>
          <w:titlePg/>
        </w:sectPr>
      </w:pPr>
      <w:r>
        <w:t xml:space="preserve"> “KIR’s training programs and proactive delivery of filtered information positively impact the </w:t>
      </w:r>
    </w:p>
    <w:p w14:paraId="178EEAB4" w14:textId="77777777" w:rsidR="00000000" w:rsidRDefault="00086ADF">
      <w:pPr>
        <w:pStyle w:val="BodyTextIndent2"/>
        <w:ind w:firstLine="0"/>
        <w:jc w:val="both"/>
      </w:pPr>
      <w:r>
        <w:lastRenderedPageBreak/>
        <w:t xml:space="preserve">performance of our sales force.  I’ve seen enhanced top-line growth as a result,” she added.  </w:t>
      </w:r>
    </w:p>
    <w:p w14:paraId="60CEA80C" w14:textId="77777777" w:rsidR="00000000" w:rsidRDefault="00086ADF">
      <w:pPr>
        <w:pStyle w:val="BodyTextIndent2"/>
        <w:jc w:val="both"/>
      </w:pPr>
      <w:r>
        <w:t xml:space="preserve">Barton recalled an instance to illustrate, a story about an Endocrinology group practice in Indianapolis where physician and nurse training provided by the local BMS sales rep led to significantly higher scrips for </w:t>
      </w:r>
      <w:proofErr w:type="spellStart"/>
      <w:r>
        <w:t>GlucophageXR</w:t>
      </w:r>
      <w:proofErr w:type="spellEnd"/>
      <w:r>
        <w:t xml:space="preserve">® and </w:t>
      </w:r>
      <w:proofErr w:type="spellStart"/>
      <w:r>
        <w:t>Glucovance</w:t>
      </w:r>
      <w:proofErr w:type="spellEnd"/>
      <w:r>
        <w:t xml:space="preserve">®. </w:t>
      </w:r>
    </w:p>
    <w:p w14:paraId="7311B816" w14:textId="77777777" w:rsidR="00000000" w:rsidRDefault="00086ADF">
      <w:pPr>
        <w:pStyle w:val="BodyTextIndent2"/>
        <w:jc w:val="both"/>
      </w:pPr>
      <w:r>
        <w:t xml:space="preserve"> “This is one of many examples where the timely delivery of important clinical advances impacts top line growth,” said Barton.</w:t>
      </w:r>
    </w:p>
    <w:p w14:paraId="09D01B22" w14:textId="77777777" w:rsidR="00000000" w:rsidRDefault="00086ADF">
      <w:pPr>
        <w:pStyle w:val="BodyTextIndent2"/>
        <w:jc w:val="both"/>
      </w:pPr>
      <w:r>
        <w:t>Each of these PRI and BMS division chiefs credits PRI’s president, Peter Ringrose with the vision to include knowledge management in the mix of innovations that have lead BMS to its position of current strength. Business analysts describe BMS today as having “the most productive and innovative R&amp;D organization in the pharmaceutical industry.” With BMS stock at an all-time high, numerous alliance partners seeking them out, and a pipeline unparalleled in the industry, it is hard to quarrel with that claim.</w:t>
      </w:r>
    </w:p>
    <w:p w14:paraId="0FAD93A3" w14:textId="77777777" w:rsidR="00000000" w:rsidRDefault="00000000">
      <w:pPr>
        <w:pStyle w:val="BodyTextIndent2"/>
        <w:ind w:firstLine="0"/>
        <w:jc w:val="both"/>
      </w:pPr>
    </w:p>
    <w:p w14:paraId="1105951B" w14:textId="77777777" w:rsidR="00000000" w:rsidRDefault="00086ADF">
      <w:pPr>
        <w:pStyle w:val="BodyTextIndent2"/>
        <w:ind w:firstLine="0"/>
        <w:jc w:val="both"/>
        <w:rPr>
          <w:b/>
        </w:rPr>
      </w:pPr>
      <w:r>
        <w:rPr>
          <w:b/>
        </w:rPr>
        <w:t>KM Innovations at BMS Get Wide Business Recognition</w:t>
      </w:r>
    </w:p>
    <w:p w14:paraId="1E35EBD3" w14:textId="77777777" w:rsidR="00000000" w:rsidRDefault="00086ADF">
      <w:pPr>
        <w:pStyle w:val="BodyTextIndent2"/>
        <w:jc w:val="both"/>
      </w:pPr>
      <w:r>
        <w:t xml:space="preserve">“The way we leverage knowledge capital and nurture innovation is the foundation for BMS’ unprecedented success,” according to Jack Hooper, Chief Information Officer. Mr. Hooper was interviewed by the </w:t>
      </w:r>
      <w:r>
        <w:rPr>
          <w:i/>
        </w:rPr>
        <w:t>Financial Times,</w:t>
      </w:r>
      <w:r>
        <w:t xml:space="preserve"> when he received an award from the Gartner Group, a leading organization of business analysts with a </w:t>
      </w:r>
      <w:proofErr w:type="spellStart"/>
      <w:r>
        <w:t>speciality</w:t>
      </w:r>
      <w:proofErr w:type="spellEnd"/>
      <w:r>
        <w:t xml:space="preserve"> in knowledge management.</w:t>
      </w:r>
    </w:p>
    <w:p w14:paraId="15A4CE47" w14:textId="77777777" w:rsidR="00000000" w:rsidRDefault="00086ADF">
      <w:pPr>
        <w:pStyle w:val="BodyTextIndent2"/>
        <w:jc w:val="both"/>
      </w:pPr>
      <w:r>
        <w:t xml:space="preserve">Elaborating, on BMS’ industry-leading role in developing enterprise-wide knowledge and document management systems, Mr. Hooper said:  “I know of no </w:t>
      </w:r>
      <w:r>
        <w:t xml:space="preserve">better approach to managing knowledge in our industry.  </w:t>
      </w:r>
    </w:p>
    <w:p w14:paraId="6E8A3E5A" w14:textId="77777777" w:rsidR="00000000" w:rsidRDefault="00086ADF">
      <w:pPr>
        <w:pStyle w:val="BodyTextIndent2"/>
        <w:ind w:firstLine="0"/>
        <w:jc w:val="both"/>
      </w:pPr>
      <w:r>
        <w:tab/>
        <w:t xml:space="preserve">“Ever since our Knowledge Management systems and expertise were profiled by Larry Prusak in the </w:t>
      </w:r>
      <w:r>
        <w:rPr>
          <w:i/>
        </w:rPr>
        <w:t>Harvard Business Review</w:t>
      </w:r>
      <w:r>
        <w:t xml:space="preserve">, we have been inundated with requests from companies in all industries, including General Electric, Kimberly-Clark, and Citigroup, to host site visits for their staffs to see and learn </w:t>
      </w:r>
      <w:proofErr w:type="gramStart"/>
      <w:r>
        <w:t>about  our</w:t>
      </w:r>
      <w:proofErr w:type="gramEnd"/>
      <w:r>
        <w:t xml:space="preserve"> industry-leading best practices,” Mr. Hooper added.</w:t>
      </w:r>
    </w:p>
    <w:sectPr w:rsidR="007205E6" w:rsidSect="0041289C">
      <w:pgSz w:w="12240" w:h="15840" w:code="1"/>
      <w:pgMar w:top="1440" w:right="1800" w:bottom="1440" w:left="1800" w:header="720" w:footer="389" w:gutter="0"/>
      <w:cols w:num="3"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0D5" w14:textId="77777777" w:rsidR="00ED7FBA" w:rsidRDefault="00ED7FBA">
      <w:r>
        <w:separator/>
      </w:r>
    </w:p>
  </w:endnote>
  <w:endnote w:type="continuationSeparator" w:id="0">
    <w:p w14:paraId="64B20856" w14:textId="77777777" w:rsidR="00ED7FBA" w:rsidRDefault="00ED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33AB" w14:textId="77777777" w:rsidR="00000000" w:rsidRDefault="00086ADF">
    <w:pPr>
      <w:pStyle w:val="Footer"/>
      <w:rPr>
        <w:i/>
        <w:sz w:val="16"/>
      </w:rPr>
    </w:pPr>
    <w:r>
      <w:rPr>
        <w:sz w:val="16"/>
      </w:rPr>
      <w:t xml:space="preserve">For reprints of this article in print or electronic format, please contact </w:t>
    </w:r>
    <w:r>
      <w:rPr>
        <w:b/>
        <w:sz w:val="16"/>
      </w:rPr>
      <w:t xml:space="preserve">Knowledge Integration Resources: </w:t>
    </w:r>
    <w:r>
      <w:rPr>
        <w:i/>
        <w:sz w:val="16"/>
      </w:rPr>
      <w:t>Leveraging Knowledge for Competitive Advantage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28AA" w14:textId="77777777" w:rsidR="00ED7FBA" w:rsidRDefault="00ED7FBA">
      <w:r>
        <w:separator/>
      </w:r>
    </w:p>
  </w:footnote>
  <w:footnote w:type="continuationSeparator" w:id="0">
    <w:p w14:paraId="015E4C30" w14:textId="77777777" w:rsidR="00ED7FBA" w:rsidRDefault="00ED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CDAC" w14:textId="77777777" w:rsidR="00000000" w:rsidRDefault="00086ADF">
    <w:pPr>
      <w:jc w:val="center"/>
      <w:rPr>
        <w:b/>
        <w:caps/>
        <w:sz w:val="72"/>
      </w:rPr>
    </w:pPr>
    <w:r>
      <w:rPr>
        <w:b/>
      </w:rPr>
      <w:t>World Business Newspaper</w:t>
    </w:r>
    <w:r>
      <w:rPr>
        <w:b/>
      </w:rPr>
      <w:br/>
    </w:r>
    <w:r>
      <w:rPr>
        <w:b/>
        <w:caps/>
        <w:sz w:val="72"/>
      </w:rPr>
      <w:t>Financial Times</w:t>
    </w:r>
  </w:p>
  <w:p w14:paraId="49081A72" w14:textId="77777777" w:rsidR="00000000" w:rsidRDefault="00086ADF">
    <w:pPr>
      <w:jc w:val="center"/>
      <w:rPr>
        <w:b/>
      </w:rPr>
    </w:pPr>
    <w:r>
      <w:t>Saturday May 10 2003</w:t>
    </w:r>
  </w:p>
  <w:p w14:paraId="56EB74E2" w14:textId="77777777" w:rsidR="00000000" w:rsidRDefault="00000000">
    <w:pPr>
      <w:rPr>
        <w:b/>
        <w:i/>
      </w:rPr>
    </w:pPr>
  </w:p>
  <w:p w14:paraId="21EFEA67" w14:textId="77777777" w:rsidR="00000000" w:rsidRDefault="00086ADF">
    <w:pPr>
      <w:pStyle w:val="Header"/>
      <w:rPr>
        <w:b/>
        <w:sz w:val="28"/>
      </w:rPr>
    </w:pPr>
    <w:r>
      <w:rPr>
        <w:b/>
        <w:sz w:val="28"/>
      </w:rPr>
      <w:t>Bristol-Myers Squibb Named Top-Ranked Global Pharmaceutical</w:t>
    </w:r>
  </w:p>
  <w:p w14:paraId="0C004544" w14:textId="77777777" w:rsidR="00000000" w:rsidRDefault="00086ADF">
    <w:pPr>
      <w:pStyle w:val="Header"/>
      <w:rPr>
        <w:b/>
        <w:sz w:val="28"/>
      </w:rPr>
    </w:pPr>
    <w:r>
      <w:rPr>
        <w:b/>
        <w:sz w:val="28"/>
      </w:rPr>
      <w:t xml:space="preserve">                                                 Company</w:t>
    </w:r>
  </w:p>
  <w:p w14:paraId="016DFF00" w14:textId="77777777" w:rsidR="00000000" w:rsidRDefault="00000000">
    <w:pPr>
      <w:pStyle w:val="Header"/>
      <w:rPr>
        <w:b/>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00"/>
    <w:rsid w:val="00086ADF"/>
    <w:rsid w:val="003B0953"/>
    <w:rsid w:val="0041289C"/>
    <w:rsid w:val="0059259C"/>
    <w:rsid w:val="00617711"/>
    <w:rsid w:val="00843F56"/>
    <w:rsid w:val="00BC0750"/>
    <w:rsid w:val="00CB6600"/>
    <w:rsid w:val="00DF4F68"/>
    <w:rsid w:val="00ED7FBA"/>
    <w:rsid w:val="00EE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63075A"/>
  <w15:docId w15:val="{33F8A342-63CE-489A-898B-DF9F91B4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9C"/>
  </w:style>
  <w:style w:type="paragraph" w:styleId="Heading1">
    <w:name w:val="heading 1"/>
    <w:basedOn w:val="Normal"/>
    <w:next w:val="Normal"/>
    <w:qFormat/>
    <w:rsid w:val="0041289C"/>
    <w:pPr>
      <w:keepNext/>
      <w:jc w:val="center"/>
      <w:outlineLvl w:val="0"/>
    </w:pPr>
    <w:rPr>
      <w:b/>
      <w:i/>
    </w:rPr>
  </w:style>
  <w:style w:type="paragraph" w:styleId="Heading2">
    <w:name w:val="heading 2"/>
    <w:basedOn w:val="Normal"/>
    <w:next w:val="Normal"/>
    <w:qFormat/>
    <w:rsid w:val="0041289C"/>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289C"/>
    <w:pPr>
      <w:ind w:firstLine="720"/>
    </w:pPr>
  </w:style>
  <w:style w:type="paragraph" w:styleId="Header">
    <w:name w:val="header"/>
    <w:basedOn w:val="Normal"/>
    <w:rsid w:val="0041289C"/>
    <w:pPr>
      <w:tabs>
        <w:tab w:val="center" w:pos="4320"/>
        <w:tab w:val="right" w:pos="8640"/>
      </w:tabs>
    </w:pPr>
  </w:style>
  <w:style w:type="paragraph" w:styleId="Footer">
    <w:name w:val="footer"/>
    <w:basedOn w:val="Normal"/>
    <w:rsid w:val="0041289C"/>
    <w:pPr>
      <w:tabs>
        <w:tab w:val="center" w:pos="4320"/>
        <w:tab w:val="right" w:pos="8640"/>
      </w:tabs>
    </w:pPr>
  </w:style>
  <w:style w:type="paragraph" w:styleId="BodyTextIndent2">
    <w:name w:val="Body Text Indent 2"/>
    <w:basedOn w:val="Normal"/>
    <w:rsid w:val="0041289C"/>
    <w:pPr>
      <w:ind w:firstLine="360"/>
    </w:pPr>
  </w:style>
  <w:style w:type="paragraph" w:styleId="BodyTextIndent3">
    <w:name w:val="Body Text Indent 3"/>
    <w:basedOn w:val="Normal"/>
    <w:rsid w:val="0041289C"/>
    <w:pPr>
      <w:ind w:firstLine="360"/>
      <w:jc w:val="both"/>
    </w:pPr>
  </w:style>
  <w:style w:type="paragraph" w:styleId="BodyText">
    <w:name w:val="Body Text"/>
    <w:basedOn w:val="Normal"/>
    <w:rsid w:val="0041289C"/>
    <w:rPr>
      <w:b/>
      <w:bCs/>
    </w:rPr>
  </w:style>
  <w:style w:type="paragraph" w:styleId="BalloonText">
    <w:name w:val="Balloon Text"/>
    <w:basedOn w:val="Normal"/>
    <w:semiHidden/>
    <w:rsid w:val="00CB6600"/>
    <w:rPr>
      <w:rFonts w:ascii="Tahoma" w:hAnsi="Tahoma" w:cs="Tahoma"/>
      <w:sz w:val="16"/>
      <w:szCs w:val="16"/>
    </w:rPr>
  </w:style>
  <w:style w:type="paragraph" w:styleId="Revision">
    <w:name w:val="Revision"/>
    <w:hidden/>
    <w:uiPriority w:val="99"/>
    <w:semiHidden/>
    <w:rsid w:val="0084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Financial Times</vt:lpstr>
    </vt:vector>
  </TitlesOfParts>
  <Company>BMS</Company>
  <LinksUpToDate>false</LinksUpToDate>
  <CharactersWithSpaces>9537</CharactersWithSpaces>
  <SharedDoc>false</SharedDoc>
  <HLinks>
    <vt:vector size="18" baseType="variant">
      <vt:variant>
        <vt:i4>6881281</vt:i4>
      </vt:variant>
      <vt:variant>
        <vt:i4>4762</vt:i4>
      </vt:variant>
      <vt:variant>
        <vt:i4>1026</vt:i4>
      </vt:variant>
      <vt:variant>
        <vt:i4>1</vt:i4>
      </vt:variant>
      <vt:variant>
        <vt:lpwstr>scientist</vt:lpwstr>
      </vt:variant>
      <vt:variant>
        <vt:lpwstr/>
      </vt:variant>
      <vt:variant>
        <vt:i4>917530</vt:i4>
      </vt:variant>
      <vt:variant>
        <vt:i4>7762</vt:i4>
      </vt:variant>
      <vt:variant>
        <vt:i4>1027</vt:i4>
      </vt:variant>
      <vt:variant>
        <vt:i4>1</vt:i4>
      </vt:variant>
      <vt:variant>
        <vt:lpwstr>molecule</vt:lpwstr>
      </vt:variant>
      <vt:variant>
        <vt:lpwstr/>
      </vt:variant>
      <vt:variant>
        <vt:i4>7995445</vt:i4>
      </vt:variant>
      <vt:variant>
        <vt:i4>8927</vt:i4>
      </vt:variant>
      <vt:variant>
        <vt:i4>1028</vt:i4>
      </vt:variant>
      <vt:variant>
        <vt:i4>1</vt:i4>
      </vt:variant>
      <vt:variant>
        <vt:lpwstr>Salesreps3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Times</dc:title>
  <dc:creator>PRIHPWDChgzk618\kramers</dc:creator>
  <cp:lastModifiedBy>Melinda Bickerstaff</cp:lastModifiedBy>
  <cp:revision>2</cp:revision>
  <cp:lastPrinted>2002-05-30T13:56:00Z</cp:lastPrinted>
  <dcterms:created xsi:type="dcterms:W3CDTF">2025-05-30T20:24:00Z</dcterms:created>
  <dcterms:modified xsi:type="dcterms:W3CDTF">2025-05-30T20:24:00Z</dcterms:modified>
</cp:coreProperties>
</file>